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44" w:rsidRPr="00CE6B00" w:rsidRDefault="004F6644" w:rsidP="004F6644">
      <w:pPr>
        <w:pStyle w:val="Heading1"/>
        <w:spacing w:before="480"/>
      </w:pPr>
      <w:bookmarkStart w:id="0" w:name="_Toc391636361"/>
      <w:bookmarkStart w:id="1" w:name="_GoBack"/>
      <w:bookmarkEnd w:id="1"/>
      <w:r w:rsidRPr="00CE6B00">
        <w:t xml:space="preserve">Committal </w:t>
      </w:r>
      <w:r>
        <w:t>r</w:t>
      </w:r>
      <w:r w:rsidRPr="00CE6B00">
        <w:t xml:space="preserve">eport and </w:t>
      </w:r>
      <w:r>
        <w:t>t</w:t>
      </w:r>
      <w:r w:rsidRPr="00CE6B00">
        <w:t xml:space="preserve">rial </w:t>
      </w:r>
      <w:r>
        <w:t>p</w:t>
      </w:r>
      <w:r w:rsidRPr="003A3CB9">
        <w:t>reparation</w:t>
      </w:r>
      <w:r w:rsidRPr="00CE6B00">
        <w:t xml:space="preserve"> </w:t>
      </w:r>
      <w:r>
        <w:t>p</w:t>
      </w:r>
      <w:r w:rsidRPr="00CE6B00">
        <w:t>lan</w:t>
      </w:r>
      <w:bookmarkEnd w:id="0"/>
    </w:p>
    <w:p w:rsidR="004F6644" w:rsidRDefault="004F6644" w:rsidP="004F6644">
      <w:pPr>
        <w:keepNext/>
        <w:rPr>
          <w:szCs w:val="22"/>
        </w:rPr>
      </w:pPr>
      <w:r>
        <w:rPr>
          <w:b/>
          <w:szCs w:val="22"/>
        </w:rPr>
        <w:t>VLA staff</w:t>
      </w:r>
      <w:r w:rsidRPr="003A3CB9">
        <w:rPr>
          <w:b/>
          <w:szCs w:val="22"/>
        </w:rPr>
        <w:t xml:space="preserve"> </w:t>
      </w:r>
      <w:r>
        <w:rPr>
          <w:b/>
          <w:szCs w:val="22"/>
        </w:rPr>
        <w:t xml:space="preserve">lawyers </w:t>
      </w:r>
      <w:r>
        <w:rPr>
          <w:szCs w:val="22"/>
        </w:rPr>
        <w:t xml:space="preserve">must complete this Committal Report and Trial Preparation Plan for all contested committals and trials. </w:t>
      </w:r>
    </w:p>
    <w:p w:rsidR="004F6644" w:rsidRPr="00B94C32" w:rsidRDefault="004F6644" w:rsidP="004F6644">
      <w:pPr>
        <w:keepNext/>
        <w:rPr>
          <w:szCs w:val="22"/>
        </w:rPr>
      </w:pPr>
      <w:r>
        <w:rPr>
          <w:szCs w:val="22"/>
        </w:rPr>
        <w:t>VLA highly recommends</w:t>
      </w:r>
      <w:r w:rsidRPr="003E0F29">
        <w:rPr>
          <w:szCs w:val="22"/>
        </w:rPr>
        <w:t xml:space="preserve"> </w:t>
      </w:r>
      <w:r w:rsidRPr="003E0F29">
        <w:rPr>
          <w:b/>
          <w:szCs w:val="22"/>
        </w:rPr>
        <w:t>p</w:t>
      </w:r>
      <w:r w:rsidRPr="00B917C5">
        <w:rPr>
          <w:b/>
          <w:szCs w:val="22"/>
        </w:rPr>
        <w:t>rivate practitioners</w:t>
      </w:r>
      <w:r>
        <w:rPr>
          <w:szCs w:val="22"/>
        </w:rPr>
        <w:t xml:space="preserve"> complete this Committal Report and Trial Preparation Plan for all contested committals and trials. </w:t>
      </w:r>
    </w:p>
    <w:p w:rsidR="004F6644" w:rsidRDefault="004F6644" w:rsidP="004F6644">
      <w:pPr>
        <w:pStyle w:val="Heading3"/>
      </w:pPr>
      <w:r>
        <w:t>Major Criminal Cases Framework</w:t>
      </w:r>
    </w:p>
    <w:p w:rsidR="004F6644" w:rsidRDefault="004F6644" w:rsidP="004F6644">
      <w:pPr>
        <w:keepNext/>
        <w:rPr>
          <w:szCs w:val="22"/>
        </w:rPr>
      </w:pPr>
      <w:r>
        <w:rPr>
          <w:szCs w:val="22"/>
        </w:rPr>
        <w:t xml:space="preserve">A major criminal case includes major criminal trials (criminal trials that are likely to last more than 15 days, including severed trials less than 15 days that collectively equate to more than 15 days) and contested committals beyond 4 days. </w:t>
      </w:r>
    </w:p>
    <w:p w:rsidR="004F6644" w:rsidRPr="00FF66ED" w:rsidRDefault="004F6644" w:rsidP="004F6644">
      <w:pPr>
        <w:pStyle w:val="Heading3"/>
      </w:pPr>
      <w:r w:rsidRPr="00FF66ED">
        <w:t>Mandatory r</w:t>
      </w:r>
      <w:r>
        <w:t>e</w:t>
      </w:r>
      <w:r w:rsidRPr="00FF66ED">
        <w:t>quirements under the Major Criminal Cases Framework</w:t>
      </w:r>
    </w:p>
    <w:p w:rsidR="004F6644" w:rsidRPr="00876FFC" w:rsidRDefault="004F6644" w:rsidP="004F6644">
      <w:pPr>
        <w:keepNext/>
        <w:rPr>
          <w:szCs w:val="22"/>
        </w:rPr>
      </w:pPr>
      <w:r>
        <w:rPr>
          <w:szCs w:val="22"/>
        </w:rPr>
        <w:t>From 1 February 2016, p</w:t>
      </w:r>
      <w:r w:rsidRPr="00876FFC">
        <w:rPr>
          <w:szCs w:val="22"/>
        </w:rPr>
        <w:t xml:space="preserve">ractitioners must </w:t>
      </w:r>
      <w:r>
        <w:rPr>
          <w:szCs w:val="22"/>
        </w:rPr>
        <w:t>apply for</w:t>
      </w:r>
      <w:r w:rsidRPr="00876FFC">
        <w:rPr>
          <w:szCs w:val="22"/>
        </w:rPr>
        <w:t xml:space="preserve"> </w:t>
      </w:r>
      <w:r>
        <w:rPr>
          <w:szCs w:val="22"/>
        </w:rPr>
        <w:t xml:space="preserve">a grant </w:t>
      </w:r>
      <w:r w:rsidRPr="00876FFC">
        <w:rPr>
          <w:szCs w:val="22"/>
        </w:rPr>
        <w:t>of legal assistance</w:t>
      </w:r>
      <w:r>
        <w:rPr>
          <w:szCs w:val="22"/>
        </w:rPr>
        <w:t xml:space="preserve"> for a major criminal trial within </w:t>
      </w:r>
      <w:r w:rsidRPr="00DE5E93">
        <w:rPr>
          <w:szCs w:val="22"/>
          <w:u w:val="single"/>
        </w:rPr>
        <w:t>28 days of the initial directions hearing</w:t>
      </w:r>
      <w:r>
        <w:rPr>
          <w:szCs w:val="22"/>
        </w:rPr>
        <w:t xml:space="preserve">. The following documents must also be submitted to Victoria Legal Aid via ATLAS </w:t>
      </w:r>
      <w:r>
        <w:rPr>
          <w:i/>
          <w:szCs w:val="22"/>
        </w:rPr>
        <w:t xml:space="preserve">Submit correspondence – Trial documentation </w:t>
      </w:r>
      <w:r>
        <w:rPr>
          <w:szCs w:val="22"/>
        </w:rPr>
        <w:t>within this timeframe</w:t>
      </w:r>
      <w:r w:rsidRPr="00876FFC">
        <w:rPr>
          <w:szCs w:val="22"/>
        </w:rPr>
        <w:t>:</w:t>
      </w:r>
    </w:p>
    <w:p w:rsidR="004F6644" w:rsidRDefault="004F6644" w:rsidP="004F6644">
      <w:pPr>
        <w:keepNext/>
        <w:numPr>
          <w:ilvl w:val="0"/>
          <w:numId w:val="19"/>
        </w:numPr>
        <w:spacing w:line="300" w:lineRule="atLeast"/>
        <w:rPr>
          <w:szCs w:val="22"/>
        </w:rPr>
      </w:pPr>
      <w:r>
        <w:rPr>
          <w:szCs w:val="22"/>
        </w:rPr>
        <w:t xml:space="preserve">the committal report and trial preparation plan; </w:t>
      </w:r>
    </w:p>
    <w:p w:rsidR="004F6644" w:rsidRDefault="004F6644" w:rsidP="004F6644">
      <w:pPr>
        <w:keepNext/>
        <w:numPr>
          <w:ilvl w:val="0"/>
          <w:numId w:val="19"/>
        </w:numPr>
        <w:spacing w:line="300" w:lineRule="atLeast"/>
        <w:rPr>
          <w:szCs w:val="22"/>
        </w:rPr>
      </w:pPr>
      <w:r>
        <w:rPr>
          <w:szCs w:val="22"/>
        </w:rPr>
        <w:t>the prosecution summary;</w:t>
      </w:r>
    </w:p>
    <w:p w:rsidR="004F6644" w:rsidRDefault="004F6644" w:rsidP="004F6644">
      <w:pPr>
        <w:keepNext/>
        <w:numPr>
          <w:ilvl w:val="0"/>
          <w:numId w:val="19"/>
        </w:numPr>
        <w:spacing w:line="300" w:lineRule="atLeast"/>
        <w:rPr>
          <w:szCs w:val="22"/>
        </w:rPr>
      </w:pPr>
      <w:r>
        <w:rPr>
          <w:szCs w:val="22"/>
        </w:rPr>
        <w:t>evidence of b</w:t>
      </w:r>
      <w:r w:rsidRPr="00876FFC">
        <w:rPr>
          <w:szCs w:val="22"/>
        </w:rPr>
        <w:t xml:space="preserve">rief </w:t>
      </w:r>
      <w:r>
        <w:rPr>
          <w:szCs w:val="22"/>
        </w:rPr>
        <w:t>analysis</w:t>
      </w:r>
      <w:r w:rsidRPr="00876FFC">
        <w:rPr>
          <w:szCs w:val="22"/>
        </w:rPr>
        <w:t xml:space="preserve"> </w:t>
      </w:r>
      <w:r>
        <w:rPr>
          <w:szCs w:val="22"/>
        </w:rPr>
        <w:t xml:space="preserve">and case strategy; </w:t>
      </w:r>
    </w:p>
    <w:p w:rsidR="004F6644" w:rsidRDefault="004F6644" w:rsidP="004F6644">
      <w:pPr>
        <w:keepNext/>
        <w:numPr>
          <w:ilvl w:val="0"/>
          <w:numId w:val="19"/>
        </w:numPr>
        <w:spacing w:line="300" w:lineRule="atLeast"/>
        <w:rPr>
          <w:szCs w:val="22"/>
        </w:rPr>
      </w:pPr>
      <w:r>
        <w:rPr>
          <w:szCs w:val="22"/>
        </w:rPr>
        <w:t>all charge sheets (if there are both State and Commonwealth charges); and</w:t>
      </w:r>
    </w:p>
    <w:p w:rsidR="004F6644" w:rsidRPr="00635922" w:rsidRDefault="004F6644" w:rsidP="004F6644">
      <w:pPr>
        <w:keepNext/>
        <w:numPr>
          <w:ilvl w:val="0"/>
          <w:numId w:val="19"/>
        </w:numPr>
        <w:spacing w:line="300" w:lineRule="atLeast"/>
        <w:rPr>
          <w:szCs w:val="22"/>
        </w:rPr>
      </w:pPr>
      <w:r>
        <w:rPr>
          <w:szCs w:val="22"/>
        </w:rPr>
        <w:t>the form 32 and witness list (where the matter proceeded by way of contested committal).</w:t>
      </w:r>
    </w:p>
    <w:p w:rsidR="004F6644" w:rsidRPr="00876FFC" w:rsidRDefault="004F6644" w:rsidP="004F6644">
      <w:pPr>
        <w:keepNext/>
        <w:rPr>
          <w:szCs w:val="22"/>
        </w:rPr>
      </w:pPr>
      <w:r w:rsidRPr="00876FFC">
        <w:rPr>
          <w:szCs w:val="22"/>
        </w:rPr>
        <w:t>Practitioners do not need to subm</w:t>
      </w:r>
      <w:r>
        <w:rPr>
          <w:szCs w:val="22"/>
        </w:rPr>
        <w:t>it the above documents</w:t>
      </w:r>
      <w:r w:rsidRPr="00876FFC">
        <w:rPr>
          <w:szCs w:val="22"/>
        </w:rPr>
        <w:t xml:space="preserve"> if </w:t>
      </w:r>
      <w:r>
        <w:rPr>
          <w:szCs w:val="22"/>
        </w:rPr>
        <w:t>it has already been</w:t>
      </w:r>
      <w:r w:rsidRPr="00876FFC">
        <w:rPr>
          <w:szCs w:val="22"/>
        </w:rPr>
        <w:t xml:space="preserve"> submitted to Victoria Legal Aid at the contested committal stage of proceedings. </w:t>
      </w:r>
    </w:p>
    <w:p w:rsidR="004F6644" w:rsidRDefault="004F6644" w:rsidP="004F6644">
      <w:pPr>
        <w:keepNext/>
        <w:rPr>
          <w:szCs w:val="22"/>
        </w:rPr>
      </w:pPr>
      <w:r>
        <w:rPr>
          <w:szCs w:val="22"/>
        </w:rPr>
        <w:t>The C</w:t>
      </w:r>
      <w:r w:rsidRPr="00876FFC">
        <w:rPr>
          <w:szCs w:val="22"/>
        </w:rPr>
        <w:t xml:space="preserve">ommittal </w:t>
      </w:r>
      <w:r>
        <w:rPr>
          <w:szCs w:val="22"/>
        </w:rPr>
        <w:t>R</w:t>
      </w:r>
      <w:r w:rsidRPr="00876FFC">
        <w:rPr>
          <w:szCs w:val="22"/>
        </w:rPr>
        <w:t xml:space="preserve">eport and </w:t>
      </w:r>
      <w:r>
        <w:rPr>
          <w:szCs w:val="22"/>
        </w:rPr>
        <w:t>T</w:t>
      </w:r>
      <w:r w:rsidRPr="00876FFC">
        <w:rPr>
          <w:szCs w:val="22"/>
        </w:rPr>
        <w:t xml:space="preserve">rial </w:t>
      </w:r>
      <w:r>
        <w:rPr>
          <w:szCs w:val="22"/>
        </w:rPr>
        <w:t>P</w:t>
      </w:r>
      <w:r w:rsidRPr="00876FFC">
        <w:rPr>
          <w:szCs w:val="22"/>
        </w:rPr>
        <w:t xml:space="preserve">reparation </w:t>
      </w:r>
      <w:r>
        <w:rPr>
          <w:szCs w:val="22"/>
        </w:rPr>
        <w:t>P</w:t>
      </w:r>
      <w:r w:rsidRPr="00876FFC">
        <w:rPr>
          <w:szCs w:val="22"/>
        </w:rPr>
        <w:t xml:space="preserve">lan must be completed by Counsel who appeared at the </w:t>
      </w:r>
      <w:r>
        <w:rPr>
          <w:szCs w:val="22"/>
        </w:rPr>
        <w:t>c</w:t>
      </w:r>
      <w:r w:rsidRPr="00876FFC">
        <w:rPr>
          <w:szCs w:val="22"/>
        </w:rPr>
        <w:t xml:space="preserve">ommittal </w:t>
      </w:r>
      <w:r>
        <w:rPr>
          <w:szCs w:val="22"/>
        </w:rPr>
        <w:t>m</w:t>
      </w:r>
      <w:r w:rsidRPr="00876FFC">
        <w:rPr>
          <w:szCs w:val="22"/>
        </w:rPr>
        <w:t xml:space="preserve">ention or </w:t>
      </w:r>
      <w:r>
        <w:rPr>
          <w:szCs w:val="22"/>
        </w:rPr>
        <w:t>contested committal</w:t>
      </w:r>
      <w:r w:rsidRPr="00876FFC">
        <w:rPr>
          <w:szCs w:val="22"/>
        </w:rPr>
        <w:t xml:space="preserve">. </w:t>
      </w:r>
    </w:p>
    <w:p w:rsidR="004F6644" w:rsidRPr="00876FFC" w:rsidRDefault="004F6644" w:rsidP="004F6644">
      <w:pPr>
        <w:keepNext/>
        <w:spacing w:before="120"/>
        <w:rPr>
          <w:szCs w:val="22"/>
        </w:rPr>
      </w:pPr>
      <w:r w:rsidRPr="00B63F5D">
        <w:rPr>
          <w:b/>
          <w:szCs w:val="22"/>
        </w:rPr>
        <w:t>Private practitioners</w:t>
      </w:r>
      <w:r>
        <w:rPr>
          <w:szCs w:val="22"/>
        </w:rPr>
        <w:t xml:space="preserve"> are not required to use this Committal Report and Trial Preparation Plan as long as all the information required under </w:t>
      </w:r>
      <w:r w:rsidRPr="00584014">
        <w:rPr>
          <w:i/>
          <w:szCs w:val="22"/>
          <w:u w:val="single"/>
        </w:rPr>
        <w:t>Committal Report</w:t>
      </w:r>
      <w:r w:rsidRPr="00584014">
        <w:rPr>
          <w:szCs w:val="22"/>
        </w:rPr>
        <w:t>,</w:t>
      </w:r>
      <w:r>
        <w:rPr>
          <w:szCs w:val="22"/>
        </w:rPr>
        <w:t xml:space="preserve"> </w:t>
      </w:r>
      <w:r w:rsidRPr="00584014">
        <w:rPr>
          <w:i/>
          <w:szCs w:val="22"/>
          <w:u w:val="single"/>
        </w:rPr>
        <w:t>Trial Preparation Plan</w:t>
      </w:r>
      <w:r>
        <w:rPr>
          <w:szCs w:val="22"/>
        </w:rPr>
        <w:t xml:space="preserve"> and </w:t>
      </w:r>
      <w:r w:rsidRPr="00584014">
        <w:rPr>
          <w:i/>
          <w:szCs w:val="22"/>
          <w:u w:val="single"/>
        </w:rPr>
        <w:t>Supervision</w:t>
      </w:r>
      <w:r>
        <w:rPr>
          <w:szCs w:val="22"/>
        </w:rPr>
        <w:t xml:space="preserve"> is submitted to Victoria Legal Aid.</w:t>
      </w:r>
    </w:p>
    <w:p w:rsidR="004F6644" w:rsidRDefault="004F6644" w:rsidP="004F6644">
      <w:pPr>
        <w:pStyle w:val="Heading2"/>
      </w:pPr>
      <w:r>
        <w:br w:type="page"/>
      </w:r>
      <w:r>
        <w:lastRenderedPageBreak/>
        <w:t>(a)</w:t>
      </w:r>
      <w:r>
        <w:tab/>
      </w:r>
      <w:r w:rsidRPr="003A3CB9">
        <w:t xml:space="preserve">Committal </w:t>
      </w:r>
      <w:r>
        <w:t>R</w:t>
      </w:r>
      <w:r w:rsidRPr="003A3CB9">
        <w:t>eport</w:t>
      </w:r>
    </w:p>
    <w:p w:rsidR="004F6644" w:rsidRPr="002A7D0A" w:rsidRDefault="004F6644" w:rsidP="004F6644">
      <w:pPr>
        <w:keepNext/>
        <w:spacing w:before="120"/>
        <w:rPr>
          <w:szCs w:val="22"/>
        </w:rPr>
      </w:pPr>
      <w:r w:rsidRPr="002A7D0A">
        <w:rPr>
          <w:szCs w:val="22"/>
        </w:rPr>
        <w:t>VLA requires the</w:t>
      </w:r>
      <w:r>
        <w:rPr>
          <w:szCs w:val="22"/>
        </w:rPr>
        <w:t xml:space="preserve"> following to be included in the</w:t>
      </w:r>
      <w:r w:rsidRPr="002A7D0A">
        <w:rPr>
          <w:szCs w:val="22"/>
        </w:rPr>
        <w:t xml:space="preserve"> Committal Report:</w:t>
      </w:r>
    </w:p>
    <w:p w:rsidR="004F6644" w:rsidRPr="0088718A" w:rsidRDefault="004F6644" w:rsidP="004F6644">
      <w:pPr>
        <w:keepNext/>
        <w:spacing w:before="120" w:after="0" w:line="360" w:lineRule="auto"/>
        <w:rPr>
          <w:b/>
          <w:szCs w:val="22"/>
        </w:rPr>
      </w:pPr>
      <w:r w:rsidRPr="00DE775A">
        <w:rPr>
          <w:b/>
          <w:szCs w:val="22"/>
        </w:rPr>
        <w:t xml:space="preserve">What impact did the committal have on the previous case strategy? </w:t>
      </w:r>
      <w:r>
        <w:rPr>
          <w:szCs w:val="22"/>
        </w:rPr>
        <w:fldChar w:fldCharType="begin">
          <w:ffData>
            <w:name w:val="CommittalImpact"/>
            <w:enabled/>
            <w:calcOnExit w:val="0"/>
            <w:helpText w:type="text" w:val="What impact did the committal have on the previous case strategy? Comment"/>
            <w:textInput>
              <w:default w:val="Comment "/>
            </w:textInput>
          </w:ffData>
        </w:fldChar>
      </w:r>
      <w:bookmarkStart w:id="2" w:name="CommittalImpact"/>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2"/>
      <w:r w:rsidRPr="00DE775A">
        <w:rPr>
          <w:szCs w:val="22"/>
        </w:rPr>
        <w:t xml:space="preserve"> </w:t>
      </w:r>
    </w:p>
    <w:p w:rsidR="004F6644" w:rsidRPr="0088718A" w:rsidRDefault="004F6644" w:rsidP="004F6644">
      <w:pPr>
        <w:keepNext/>
        <w:spacing w:after="0" w:line="360" w:lineRule="auto"/>
        <w:rPr>
          <w:b/>
          <w:szCs w:val="22"/>
        </w:rPr>
      </w:pPr>
      <w:r w:rsidRPr="00DE775A">
        <w:rPr>
          <w:b/>
          <w:szCs w:val="22"/>
        </w:rPr>
        <w:t>Prospects of successfully defending the allegations (refer to each charge)</w:t>
      </w:r>
      <w:r>
        <w:rPr>
          <w:b/>
          <w:szCs w:val="22"/>
        </w:rPr>
        <w:t xml:space="preserve">: </w:t>
      </w:r>
      <w:r>
        <w:rPr>
          <w:szCs w:val="22"/>
        </w:rPr>
        <w:fldChar w:fldCharType="begin">
          <w:ffData>
            <w:name w:val="Prospects"/>
            <w:enabled/>
            <w:calcOnExit w:val="0"/>
            <w:helpText w:type="text" w:val="Prospects of successfully defending the allegations (refer to each charge)? Comment"/>
            <w:textInput>
              <w:default w:val="Comment "/>
            </w:textInput>
          </w:ffData>
        </w:fldChar>
      </w:r>
      <w:bookmarkStart w:id="3" w:name="Prospect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3"/>
    </w:p>
    <w:p w:rsidR="004F6644" w:rsidRPr="00DE775A" w:rsidRDefault="004F6644" w:rsidP="004F6644">
      <w:pPr>
        <w:keepNext/>
        <w:spacing w:after="0" w:line="360" w:lineRule="auto"/>
        <w:rPr>
          <w:b/>
          <w:szCs w:val="22"/>
        </w:rPr>
      </w:pPr>
      <w:r w:rsidRPr="00DE775A">
        <w:rPr>
          <w:b/>
          <w:szCs w:val="22"/>
        </w:rPr>
        <w:t>Likely penalty range (following either plea of guilty and not guilty)</w:t>
      </w:r>
      <w:r>
        <w:rPr>
          <w:b/>
          <w:szCs w:val="22"/>
        </w:rPr>
        <w:t xml:space="preserve">: </w:t>
      </w:r>
      <w:r>
        <w:rPr>
          <w:szCs w:val="22"/>
        </w:rPr>
        <w:fldChar w:fldCharType="begin">
          <w:ffData>
            <w:name w:val="PenaltyRange"/>
            <w:enabled/>
            <w:calcOnExit w:val="0"/>
            <w:helpText w:type="text" w:val="Likely penalty range (following either plea of guilty and not guilty)? Comment"/>
            <w:textInput>
              <w:default w:val="Comment "/>
            </w:textInput>
          </w:ffData>
        </w:fldChar>
      </w:r>
      <w:bookmarkStart w:id="4" w:name="PenaltyRange"/>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4"/>
    </w:p>
    <w:p w:rsidR="004F6644" w:rsidRPr="0088718A" w:rsidRDefault="004F6644" w:rsidP="004F6644">
      <w:pPr>
        <w:keepNext/>
        <w:spacing w:after="0" w:line="360" w:lineRule="auto"/>
        <w:rPr>
          <w:b/>
          <w:szCs w:val="22"/>
          <w:highlight w:val="yellow"/>
        </w:rPr>
      </w:pPr>
      <w:r w:rsidRPr="00DE775A">
        <w:rPr>
          <w:b/>
          <w:szCs w:val="22"/>
        </w:rPr>
        <w:t>O</w:t>
      </w:r>
      <w:r>
        <w:rPr>
          <w:b/>
          <w:szCs w:val="22"/>
        </w:rPr>
        <w:t>utcome of post-</w:t>
      </w:r>
      <w:r w:rsidRPr="00DE775A">
        <w:rPr>
          <w:b/>
          <w:szCs w:val="22"/>
        </w:rPr>
        <w:t>committal negotiations</w:t>
      </w:r>
      <w:r>
        <w:rPr>
          <w:b/>
          <w:szCs w:val="22"/>
        </w:rPr>
        <w:t xml:space="preserve">: </w:t>
      </w:r>
      <w:r w:rsidRPr="00874E38">
        <w:rPr>
          <w:szCs w:val="22"/>
        </w:rPr>
        <w:t xml:space="preserve">(counsel must also complete the </w:t>
      </w:r>
      <w:hyperlink r:id="rId8" w:history="1">
        <w:r w:rsidRPr="00A835DA">
          <w:rPr>
            <w:rStyle w:val="Hyperlink"/>
            <w:szCs w:val="22"/>
          </w:rPr>
          <w:t>Post-committal negot</w:t>
        </w:r>
        <w:r w:rsidRPr="00A835DA">
          <w:rPr>
            <w:rStyle w:val="Hyperlink"/>
            <w:szCs w:val="22"/>
          </w:rPr>
          <w:t>i</w:t>
        </w:r>
        <w:r w:rsidRPr="00A835DA">
          <w:rPr>
            <w:rStyle w:val="Hyperlink"/>
            <w:szCs w:val="22"/>
          </w:rPr>
          <w:t>ation checklist</w:t>
        </w:r>
      </w:hyperlink>
      <w:r w:rsidRPr="00874E38">
        <w:rPr>
          <w:szCs w:val="22"/>
        </w:rPr>
        <w:t xml:space="preserve"> in the VLA Handbook to claim the post-committal negotiation fee)</w:t>
      </w:r>
      <w:r>
        <w:rPr>
          <w:szCs w:val="22"/>
        </w:rPr>
        <w:t xml:space="preserve"> </w:t>
      </w:r>
      <w:r>
        <w:rPr>
          <w:szCs w:val="22"/>
        </w:rPr>
        <w:fldChar w:fldCharType="begin">
          <w:ffData>
            <w:name w:val="OutcomeNegotitations"/>
            <w:enabled/>
            <w:calcOnExit w:val="0"/>
            <w:helpText w:type="text" w:val="Outcome of post committal negotiations (counsel must also complete the Post-committal negotiation checklist in the VLA Handbook to claim the post-committal negotiation fee)? Comment"/>
            <w:textInput>
              <w:default w:val="Comment "/>
            </w:textInput>
          </w:ffData>
        </w:fldChar>
      </w:r>
      <w:bookmarkStart w:id="5" w:name="OutcomeNegotitation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5"/>
    </w:p>
    <w:p w:rsidR="004F6644" w:rsidRPr="00DE775A" w:rsidRDefault="004F6644" w:rsidP="004F6644">
      <w:pPr>
        <w:keepNext/>
        <w:spacing w:after="0" w:line="360" w:lineRule="auto"/>
        <w:rPr>
          <w:b/>
          <w:szCs w:val="22"/>
        </w:rPr>
      </w:pPr>
      <w:r w:rsidRPr="00DE775A">
        <w:rPr>
          <w:b/>
          <w:szCs w:val="22"/>
        </w:rPr>
        <w:t xml:space="preserve">Recommendations (including seeking discontinuance, sentencing indication, negotiating settlement or narrowing trial issues):  </w:t>
      </w:r>
      <w:r>
        <w:rPr>
          <w:szCs w:val="22"/>
        </w:rPr>
        <w:fldChar w:fldCharType="begin">
          <w:ffData>
            <w:name w:val="Recommendations"/>
            <w:enabled/>
            <w:calcOnExit w:val="0"/>
            <w:helpText w:type="text" w:val="Recommendations (including seeking discontinuance, sentencing indication, negotiating settlement or narrowing trial issues)? Comment"/>
            <w:textInput>
              <w:default w:val="Comment "/>
            </w:textInput>
          </w:ffData>
        </w:fldChar>
      </w:r>
      <w:bookmarkStart w:id="6" w:name="Recommendation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6"/>
    </w:p>
    <w:p w:rsidR="004F6644" w:rsidRPr="00E05D4E" w:rsidRDefault="004F6644" w:rsidP="004F6644">
      <w:pPr>
        <w:pStyle w:val="Heading2"/>
      </w:pPr>
      <w:r>
        <w:t>(b)</w:t>
      </w:r>
      <w:r>
        <w:tab/>
        <w:t>Trial Preparation Plan</w:t>
      </w:r>
    </w:p>
    <w:p w:rsidR="004F6644" w:rsidRPr="002A7D0A" w:rsidRDefault="004F6644" w:rsidP="004F6644">
      <w:pPr>
        <w:spacing w:before="120"/>
      </w:pPr>
      <w:r>
        <w:t>VLA requires the following to be included in the Trial Preparation Plan:</w:t>
      </w:r>
    </w:p>
    <w:p w:rsidR="004F6644" w:rsidRPr="0088718A" w:rsidRDefault="004F6644" w:rsidP="004F6644">
      <w:pPr>
        <w:keepNext/>
        <w:spacing w:after="0" w:line="360" w:lineRule="auto"/>
        <w:rPr>
          <w:b/>
          <w:szCs w:val="22"/>
        </w:rPr>
      </w:pPr>
      <w:r w:rsidRPr="00DE775A">
        <w:rPr>
          <w:b/>
          <w:szCs w:val="22"/>
        </w:rPr>
        <w:t>What is my theory for trial</w:t>
      </w:r>
      <w:r>
        <w:rPr>
          <w:b/>
          <w:szCs w:val="22"/>
        </w:rPr>
        <w:t xml:space="preserve">: </w:t>
      </w:r>
      <w:r>
        <w:rPr>
          <w:szCs w:val="22"/>
        </w:rPr>
        <w:fldChar w:fldCharType="begin">
          <w:ffData>
            <w:name w:val="Theory"/>
            <w:enabled/>
            <w:calcOnExit w:val="0"/>
            <w:helpText w:type="text" w:val="What is my theory for trial? Comment"/>
            <w:textInput>
              <w:default w:val="Comment "/>
            </w:textInput>
          </w:ffData>
        </w:fldChar>
      </w:r>
      <w:bookmarkStart w:id="7" w:name="Theory"/>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7"/>
    </w:p>
    <w:p w:rsidR="004F6644" w:rsidRPr="0088718A" w:rsidRDefault="004F6644" w:rsidP="004F6644">
      <w:pPr>
        <w:keepNext/>
        <w:spacing w:after="0" w:line="360" w:lineRule="auto"/>
        <w:rPr>
          <w:b/>
          <w:szCs w:val="22"/>
        </w:rPr>
      </w:pPr>
      <w:r w:rsidRPr="00DE775A">
        <w:rPr>
          <w:b/>
          <w:szCs w:val="22"/>
        </w:rPr>
        <w:t xml:space="preserve">Further disclosure required: </w:t>
      </w:r>
      <w:hyperlink r:id="rId9" w:history="1">
        <w:r w:rsidRPr="00DE775A">
          <w:rPr>
            <w:rStyle w:val="Hyperlink"/>
            <w:b/>
            <w:szCs w:val="22"/>
          </w:rPr>
          <w:t>ss 1</w:t>
        </w:r>
        <w:r w:rsidRPr="00DE775A">
          <w:rPr>
            <w:rStyle w:val="Hyperlink"/>
            <w:b/>
            <w:szCs w:val="22"/>
          </w:rPr>
          <w:t>1</w:t>
        </w:r>
        <w:r w:rsidRPr="00DE775A">
          <w:rPr>
            <w:rStyle w:val="Hyperlink"/>
            <w:b/>
            <w:szCs w:val="22"/>
          </w:rPr>
          <w:t>0, 111 &amp; 416 CPA</w:t>
        </w:r>
      </w:hyperlink>
      <w:r w:rsidRPr="00DE775A">
        <w:rPr>
          <w:b/>
          <w:szCs w:val="22"/>
        </w:rPr>
        <w:t xml:space="preserve">, </w:t>
      </w:r>
      <w:hyperlink r:id="rId10" w:history="1">
        <w:r w:rsidRPr="00DE775A">
          <w:rPr>
            <w:rStyle w:val="Hyperlink"/>
            <w:b/>
            <w:szCs w:val="22"/>
          </w:rPr>
          <w:t>OP</w:t>
        </w:r>
        <w:r w:rsidRPr="00DE775A">
          <w:rPr>
            <w:rStyle w:val="Hyperlink"/>
            <w:b/>
            <w:szCs w:val="22"/>
          </w:rPr>
          <w:t>P</w:t>
        </w:r>
      </w:hyperlink>
      <w:r w:rsidRPr="00DE775A">
        <w:rPr>
          <w:b/>
          <w:szCs w:val="22"/>
        </w:rPr>
        <w:t xml:space="preserve"> or </w:t>
      </w:r>
      <w:hyperlink r:id="rId11" w:history="1">
        <w:r w:rsidRPr="00DE775A">
          <w:rPr>
            <w:rStyle w:val="Hyperlink"/>
            <w:b/>
            <w:szCs w:val="22"/>
          </w:rPr>
          <w:t>CD</w:t>
        </w:r>
        <w:r w:rsidRPr="00DE775A">
          <w:rPr>
            <w:rStyle w:val="Hyperlink"/>
            <w:b/>
            <w:szCs w:val="22"/>
          </w:rPr>
          <w:t>P</w:t>
        </w:r>
        <w:r w:rsidRPr="00DE775A">
          <w:rPr>
            <w:rStyle w:val="Hyperlink"/>
            <w:b/>
            <w:szCs w:val="22"/>
          </w:rPr>
          <w:t>P</w:t>
        </w:r>
      </w:hyperlink>
      <w:r w:rsidRPr="00DE775A">
        <w:rPr>
          <w:b/>
          <w:szCs w:val="22"/>
        </w:rPr>
        <w:t xml:space="preserve"> policy</w:t>
      </w:r>
      <w:r>
        <w:rPr>
          <w:b/>
          <w:szCs w:val="22"/>
        </w:rPr>
        <w:t xml:space="preserve"> </w:t>
      </w:r>
      <w:r>
        <w:rPr>
          <w:szCs w:val="22"/>
        </w:rPr>
        <w:fldChar w:fldCharType="begin">
          <w:ffData>
            <w:name w:val="FurtherDisclosure"/>
            <w:enabled/>
            <w:calcOnExit w:val="0"/>
            <w:helpText w:type="text" w:val="Further disclosure required: ss 110, 111 &amp; 416 CPA, OPP or CDPP policy? Comment"/>
            <w:textInput>
              <w:default w:val="Comment "/>
            </w:textInput>
          </w:ffData>
        </w:fldChar>
      </w:r>
      <w:bookmarkStart w:id="8" w:name="FurtherDisclosure"/>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8"/>
    </w:p>
    <w:p w:rsidR="004F6644" w:rsidRPr="0088718A" w:rsidRDefault="004F6644" w:rsidP="004F6644">
      <w:pPr>
        <w:keepNext/>
        <w:spacing w:after="0" w:line="360" w:lineRule="auto"/>
        <w:rPr>
          <w:b/>
          <w:szCs w:val="22"/>
        </w:rPr>
      </w:pPr>
      <w:r w:rsidRPr="00DE775A">
        <w:rPr>
          <w:b/>
          <w:szCs w:val="22"/>
        </w:rPr>
        <w:t>Defence evidence/investigation required</w:t>
      </w:r>
      <w:r>
        <w:rPr>
          <w:b/>
          <w:szCs w:val="22"/>
        </w:rPr>
        <w:t xml:space="preserve">: </w:t>
      </w:r>
      <w:r>
        <w:rPr>
          <w:szCs w:val="22"/>
        </w:rPr>
        <w:fldChar w:fldCharType="begin">
          <w:ffData>
            <w:name w:val="DefenceEvidence"/>
            <w:enabled/>
            <w:calcOnExit w:val="0"/>
            <w:helpText w:type="text" w:val="Defence evidence / investigation required? Comment."/>
            <w:textInput>
              <w:default w:val="Comment "/>
            </w:textInput>
          </w:ffData>
        </w:fldChar>
      </w:r>
      <w:bookmarkStart w:id="9" w:name="DefenceEvidence"/>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9"/>
    </w:p>
    <w:p w:rsidR="004F6644" w:rsidRPr="0088718A" w:rsidRDefault="004F6644" w:rsidP="004F6644">
      <w:pPr>
        <w:keepNext/>
        <w:spacing w:after="0" w:line="360" w:lineRule="auto"/>
        <w:rPr>
          <w:b/>
          <w:szCs w:val="22"/>
        </w:rPr>
      </w:pPr>
      <w:r w:rsidRPr="00DE775A">
        <w:rPr>
          <w:b/>
          <w:szCs w:val="22"/>
        </w:rPr>
        <w:t>Pre-trial issues and defence applications (i.e., alibi notices, confidential communications, prior sexual history)</w:t>
      </w:r>
      <w:r>
        <w:rPr>
          <w:b/>
          <w:szCs w:val="22"/>
        </w:rPr>
        <w:t xml:space="preserve">: </w:t>
      </w:r>
      <w:r>
        <w:rPr>
          <w:szCs w:val="22"/>
        </w:rPr>
        <w:fldChar w:fldCharType="begin">
          <w:ffData>
            <w:name w:val="PretrialIssues"/>
            <w:enabled/>
            <w:calcOnExit w:val="0"/>
            <w:helpText w:type="text" w:val="Pre-trial issues and defence applications (i.e., alibi notices, confidential communications, prior sexual history)? Comment"/>
            <w:textInput>
              <w:default w:val="Comment "/>
            </w:textInput>
          </w:ffData>
        </w:fldChar>
      </w:r>
      <w:bookmarkStart w:id="10" w:name="PretrialIssue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10"/>
    </w:p>
    <w:p w:rsidR="004F6644" w:rsidRPr="0088718A" w:rsidRDefault="004F6644" w:rsidP="004F6644">
      <w:pPr>
        <w:keepNext/>
        <w:spacing w:after="0" w:line="360" w:lineRule="auto"/>
        <w:rPr>
          <w:b/>
          <w:szCs w:val="22"/>
        </w:rPr>
      </w:pPr>
      <w:r w:rsidRPr="00DE775A">
        <w:rPr>
          <w:b/>
          <w:szCs w:val="22"/>
        </w:rPr>
        <w:t>Other tasks and due dates</w:t>
      </w:r>
      <w:r>
        <w:rPr>
          <w:b/>
          <w:szCs w:val="22"/>
        </w:rPr>
        <w:t xml:space="preserve">: </w:t>
      </w:r>
      <w:r>
        <w:rPr>
          <w:szCs w:val="22"/>
        </w:rPr>
        <w:fldChar w:fldCharType="begin">
          <w:ffData>
            <w:name w:val="OtherTasks"/>
            <w:enabled/>
            <w:calcOnExit w:val="0"/>
            <w:helpText w:type="text" w:val="Other tasks and due dates? Comment"/>
            <w:textInput>
              <w:default w:val="Comment "/>
            </w:textInput>
          </w:ffData>
        </w:fldChar>
      </w:r>
      <w:bookmarkStart w:id="11" w:name="OtherTasks"/>
      <w:r>
        <w:rPr>
          <w:szCs w:val="22"/>
        </w:rPr>
        <w:instrText xml:space="preserve"> FORMTEXT </w:instrText>
      </w:r>
      <w:r w:rsidRPr="00035FA2">
        <w:rPr>
          <w:szCs w:val="22"/>
        </w:rPr>
      </w:r>
      <w:r>
        <w:rPr>
          <w:szCs w:val="22"/>
        </w:rPr>
        <w:fldChar w:fldCharType="separate"/>
      </w:r>
      <w:r>
        <w:rPr>
          <w:noProof/>
          <w:szCs w:val="22"/>
        </w:rPr>
        <w:t xml:space="preserve">Comment </w:t>
      </w:r>
      <w:r>
        <w:rPr>
          <w:szCs w:val="22"/>
        </w:rPr>
        <w:fldChar w:fldCharType="end"/>
      </w:r>
      <w:bookmarkEnd w:id="11"/>
    </w:p>
    <w:p w:rsidR="004F6644" w:rsidRPr="0088718A" w:rsidRDefault="004F6644" w:rsidP="004F6644">
      <w:pPr>
        <w:keepNext/>
        <w:spacing w:after="0" w:line="360" w:lineRule="auto"/>
        <w:rPr>
          <w:b/>
          <w:szCs w:val="22"/>
        </w:rPr>
      </w:pPr>
      <w:r w:rsidRPr="00DE775A">
        <w:rPr>
          <w:b/>
          <w:szCs w:val="22"/>
        </w:rPr>
        <w:t>Comments by certifier (private practice) or accredited criminal law specialist or senior lawyer (</w:t>
      </w:r>
      <w:r>
        <w:rPr>
          <w:b/>
          <w:szCs w:val="22"/>
        </w:rPr>
        <w:t>i</w:t>
      </w:r>
      <w:r w:rsidRPr="00DE775A">
        <w:rPr>
          <w:b/>
          <w:szCs w:val="22"/>
        </w:rPr>
        <w:t>n</w:t>
      </w:r>
      <w:r>
        <w:rPr>
          <w:b/>
          <w:szCs w:val="22"/>
        </w:rPr>
        <w:t>-</w:t>
      </w:r>
      <w:r w:rsidRPr="00DE775A">
        <w:rPr>
          <w:b/>
          <w:szCs w:val="22"/>
        </w:rPr>
        <w:t xml:space="preserve">house) </w:t>
      </w:r>
      <w:r>
        <w:fldChar w:fldCharType="begin">
          <w:ffData>
            <w:name w:val="CommentsByCertifier"/>
            <w:enabled/>
            <w:calcOnExit w:val="0"/>
            <w:helpText w:type="text" w:val="Comments by Certifier (Private Practice) or Accredited Criminal Law Specialist or Senior Lawyer (in-house)? Comment"/>
            <w:textInput>
              <w:default w:val="Comment "/>
            </w:textInput>
          </w:ffData>
        </w:fldChar>
      </w:r>
      <w:bookmarkStart w:id="12" w:name="CommentsByCertifier"/>
      <w:r>
        <w:instrText xml:space="preserve"> FORMTEXT </w:instrText>
      </w:r>
      <w:r>
        <w:fldChar w:fldCharType="separate"/>
      </w:r>
      <w:r>
        <w:rPr>
          <w:noProof/>
        </w:rPr>
        <w:t xml:space="preserve">Comment </w:t>
      </w:r>
      <w:r>
        <w:fldChar w:fldCharType="end"/>
      </w:r>
      <w:bookmarkEnd w:id="12"/>
    </w:p>
    <w:p w:rsidR="004F6644" w:rsidRDefault="004F6644" w:rsidP="004F6644">
      <w:pPr>
        <w:pStyle w:val="Heading2"/>
      </w:pPr>
      <w:r>
        <w:t>Supervision</w:t>
      </w:r>
    </w:p>
    <w:p w:rsidR="004F6644" w:rsidRDefault="004F6644" w:rsidP="004F6644">
      <w:pPr>
        <w:tabs>
          <w:tab w:val="left" w:pos="3738"/>
          <w:tab w:val="left" w:pos="6158"/>
        </w:tabs>
      </w:pPr>
      <w:r>
        <w:t xml:space="preserve">The supervising panel certifier (Level 1 panel certifier for major criminal cases) or the supervising lawyer (VLA4 lawyer or above for major criminal cases) must sign off on the completed Committal Report and Trial Preparation Plan. </w:t>
      </w:r>
    </w:p>
    <w:p w:rsidR="004F6644" w:rsidRDefault="004F6644" w:rsidP="004F6644">
      <w:pPr>
        <w:tabs>
          <w:tab w:val="left" w:pos="3738"/>
          <w:tab w:val="left" w:pos="6158"/>
        </w:tabs>
        <w:spacing w:before="240"/>
      </w:pPr>
      <w:r>
        <w:t>_____________________________</w:t>
      </w:r>
    </w:p>
    <w:p w:rsidR="004F6644" w:rsidRPr="00CE6B00" w:rsidRDefault="004F6644" w:rsidP="004F6644">
      <w:pPr>
        <w:tabs>
          <w:tab w:val="left" w:pos="6096"/>
          <w:tab w:val="left" w:pos="6158"/>
        </w:tabs>
      </w:pPr>
      <w:r>
        <w:fldChar w:fldCharType="begin">
          <w:ffData>
            <w:name w:val="CommentC17"/>
            <w:enabled/>
            <w:calcOnExit w:val="0"/>
            <w:helpText w:type="text" w:val="Comments by supervisor to improve brief analysis and case strategy?"/>
            <w:textInput>
              <w:default w:val="Supervisor's full name"/>
            </w:textInput>
          </w:ffData>
        </w:fldChar>
      </w:r>
      <w:bookmarkStart w:id="13" w:name="CommentC17"/>
      <w:r>
        <w:instrText xml:space="preserve"> FORMTEXT </w:instrText>
      </w:r>
      <w:r>
        <w:fldChar w:fldCharType="separate"/>
      </w:r>
      <w:r>
        <w:rPr>
          <w:noProof/>
        </w:rPr>
        <w:t>Supervisor's full name</w:t>
      </w:r>
      <w:r>
        <w:fldChar w:fldCharType="end"/>
      </w:r>
      <w:bookmarkEnd w:id="13"/>
      <w:r>
        <w:tab/>
      </w:r>
      <w:r>
        <w:fldChar w:fldCharType="begin">
          <w:ffData>
            <w:name w:val=""/>
            <w:enabled/>
            <w:calcOnExit w:val="0"/>
            <w:helpText w:type="text" w:val="Comments by supervisor to improve brief analysis and case strategy?"/>
            <w:textInput>
              <w:default w:val="Date"/>
            </w:textInput>
          </w:ffData>
        </w:fldChar>
      </w:r>
      <w:r>
        <w:instrText xml:space="preserve"> FORMTEXT </w:instrText>
      </w:r>
      <w:r>
        <w:fldChar w:fldCharType="separate"/>
      </w:r>
      <w:r>
        <w:rPr>
          <w:noProof/>
        </w:rPr>
        <w:t>Date</w:t>
      </w:r>
      <w:r>
        <w:fldChar w:fldCharType="end"/>
      </w:r>
    </w:p>
    <w:p w:rsidR="00A506E7" w:rsidRPr="004F6644" w:rsidRDefault="00A506E7" w:rsidP="004F6644"/>
    <w:sectPr w:rsidR="00A506E7" w:rsidRPr="004F6644" w:rsidSect="00094FE1">
      <w:headerReference w:type="even" r:id="rId12"/>
      <w:headerReference w:type="default" r:id="rId13"/>
      <w:footerReference w:type="even" r:id="rId14"/>
      <w:footerReference w:type="default" r:id="rId15"/>
      <w:headerReference w:type="first" r:id="rId16"/>
      <w:footerReference w:type="first" r:id="rId17"/>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77" w:rsidRDefault="00264177" w:rsidP="00D30B8E">
      <w:r>
        <w:separator/>
      </w:r>
    </w:p>
  </w:endnote>
  <w:endnote w:type="continuationSeparator" w:id="0">
    <w:p w:rsidR="00264177" w:rsidRDefault="00264177"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p w:rsidR="005F6432" w:rsidRDefault="005F6432"/>
  <w:p w:rsidR="005F6432" w:rsidRDefault="005F6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0523D4">
      <w:rPr>
        <w:rStyle w:val="PageNumber"/>
        <w:noProof/>
      </w:rPr>
      <w:t>2</w:t>
    </w:r>
    <w:r>
      <w:rPr>
        <w:rStyle w:val="PageNumber"/>
      </w:rPr>
      <w:fldChar w:fldCharType="end"/>
    </w:r>
    <w:r w:rsidR="000523D4">
      <w:rPr>
        <w:noProof/>
        <w:lang w:eastAsia="en-AU"/>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10286364</wp:posOffset>
              </wp:positionV>
              <wp:extent cx="7200265" cy="0"/>
              <wp:effectExtent l="0" t="0" r="19685" b="1905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963EA"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Default="009D539D" w:rsidP="00A506E7">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0523D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77" w:rsidRDefault="00264177" w:rsidP="00D30B8E">
      <w:r>
        <w:separator/>
      </w:r>
    </w:p>
  </w:footnote>
  <w:footnote w:type="continuationSeparator" w:id="0">
    <w:p w:rsidR="00264177" w:rsidRDefault="00264177"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p w:rsidR="005F6432" w:rsidRDefault="005F6432"/>
  <w:p w:rsidR="005F6432" w:rsidRDefault="005F6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Pr="00214E70" w:rsidRDefault="00DE3C33" w:rsidP="00214E70">
    <w:pPr>
      <w:spacing w:after="80"/>
      <w:ind w:left="-330"/>
      <w:rPr>
        <w:rFonts w:cs="Arial"/>
        <w:color w:val="B1005D"/>
        <w:sz w:val="18"/>
        <w:szCs w:val="18"/>
      </w:rPr>
    </w:pPr>
    <w:smartTag w:uri="urn:schemas-microsoft-com:office:smarttags" w:element="State">
      <w:smartTag w:uri="urn:schemas-microsoft-com:office:smarttags" w:element="place">
        <w:r w:rsidRPr="006A6FC6">
          <w:rPr>
            <w:rFonts w:cs="Arial"/>
            <w:color w:val="B1005D"/>
            <w:sz w:val="18"/>
            <w:szCs w:val="18"/>
          </w:rPr>
          <w:t>Victoria</w:t>
        </w:r>
      </w:smartTag>
    </w:smartTag>
    <w:r w:rsidR="00214E70">
      <w:rPr>
        <w:rFonts w:cs="Arial"/>
        <w:color w:val="B1005D"/>
        <w:sz w:val="18"/>
        <w:szCs w:val="18"/>
      </w:rPr>
      <w:t xml:space="preserve"> Legal Aid</w:t>
    </w:r>
    <w:r w:rsidR="000523D4">
      <w:rPr>
        <w:noProof/>
      </w:rPr>
      <mc:AlternateContent>
        <mc:Choice Requires="wps">
          <w:drawing>
            <wp:anchor distT="0" distB="0" distL="114300" distR="114300" simplePos="0" relativeHeight="251658240" behindDoc="1" locked="1" layoutInCell="1" allowOverlap="1">
              <wp:simplePos x="0" y="0"/>
              <wp:positionH relativeFrom="page">
                <wp:posOffset>180340</wp:posOffset>
              </wp:positionH>
              <wp:positionV relativeFrom="page">
                <wp:posOffset>684530</wp:posOffset>
              </wp:positionV>
              <wp:extent cx="7200265" cy="396240"/>
              <wp:effectExtent l="0" t="0" r="19685" b="2286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461F3"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Default="000523D4"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9525"/>
          <wp:wrapNone/>
          <wp:docPr id="8"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2" w:rsidRDefault="008A7095" w:rsidP="00A506E7">
    <w:pPr>
      <w:pStyle w:val="VLAPublicationdate"/>
    </w:pPr>
    <w:r>
      <w:t>1 February 2016</w:t>
    </w:r>
    <w:r w:rsidR="00DE3C33" w:rsidRPr="00244499">
      <w:t xml:space="preserve"> </w:t>
    </w:r>
    <w:r w:rsidR="000523D4">
      <w:rPr>
        <w:noProof/>
      </w:rPr>
      <mc:AlternateContent>
        <mc:Choice Requires="wps">
          <w:drawing>
            <wp:anchor distT="4294967295" distB="4294967295" distL="114300" distR="114300" simplePos="0" relativeHeight="251656192" behindDoc="0" locked="1" layoutInCell="1" allowOverlap="1">
              <wp:simplePos x="0" y="0"/>
              <wp:positionH relativeFrom="page">
                <wp:posOffset>180340</wp:posOffset>
              </wp:positionH>
              <wp:positionV relativeFrom="page">
                <wp:posOffset>10285729</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0CD9B" id="Line 3"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47"/>
    <w:multiLevelType w:val="hybridMultilevel"/>
    <w:tmpl w:val="E876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3B049D0"/>
    <w:multiLevelType w:val="hybridMultilevel"/>
    <w:tmpl w:val="BF34C764"/>
    <w:lvl w:ilvl="0" w:tplc="1B6435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DA8"/>
    <w:multiLevelType w:val="hybridMultilevel"/>
    <w:tmpl w:val="89504E64"/>
    <w:lvl w:ilvl="0" w:tplc="AA62EF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39B0545"/>
    <w:multiLevelType w:val="hybridMultilevel"/>
    <w:tmpl w:val="16EC9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855FF1"/>
    <w:multiLevelType w:val="hybridMultilevel"/>
    <w:tmpl w:val="3D82003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6E8442E"/>
    <w:multiLevelType w:val="hybridMultilevel"/>
    <w:tmpl w:val="5ADC12E6"/>
    <w:lvl w:ilvl="0" w:tplc="960CE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C5748"/>
    <w:multiLevelType w:val="hybridMultilevel"/>
    <w:tmpl w:val="D45A3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186D8A"/>
    <w:multiLevelType w:val="hybridMultilevel"/>
    <w:tmpl w:val="28F0D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D630EB6"/>
    <w:multiLevelType w:val="hybridMultilevel"/>
    <w:tmpl w:val="2E9A3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10"/>
  </w:num>
  <w:num w:numId="6">
    <w:abstractNumId w:val="10"/>
  </w:num>
  <w:num w:numId="7">
    <w:abstractNumId w:val="12"/>
  </w:num>
  <w:num w:numId="8">
    <w:abstractNumId w:val="10"/>
  </w:num>
  <w:num w:numId="9">
    <w:abstractNumId w:val="7"/>
  </w:num>
  <w:num w:numId="10">
    <w:abstractNumId w:val="4"/>
  </w:num>
  <w:num w:numId="11">
    <w:abstractNumId w:val="13"/>
  </w:num>
  <w:num w:numId="12">
    <w:abstractNumId w:val="5"/>
  </w:num>
  <w:num w:numId="13">
    <w:abstractNumId w:val="8"/>
  </w:num>
  <w:num w:numId="14">
    <w:abstractNumId w:val="3"/>
  </w:num>
  <w:num w:numId="15">
    <w:abstractNumId w:val="2"/>
  </w:num>
  <w:num w:numId="16">
    <w:abstractNumId w:val="14"/>
  </w:num>
  <w:num w:numId="17">
    <w:abstractNumId w:val="0"/>
  </w:num>
  <w:num w:numId="18">
    <w:abstractNumId w:val="11"/>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3074">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6E2130"/>
    <w:rsid w:val="000078CE"/>
    <w:rsid w:val="000360EC"/>
    <w:rsid w:val="00040F0B"/>
    <w:rsid w:val="000523D4"/>
    <w:rsid w:val="000525DF"/>
    <w:rsid w:val="00057FDC"/>
    <w:rsid w:val="000759A6"/>
    <w:rsid w:val="00091AFC"/>
    <w:rsid w:val="00094FE1"/>
    <w:rsid w:val="000A1C94"/>
    <w:rsid w:val="000C6955"/>
    <w:rsid w:val="000E1BEB"/>
    <w:rsid w:val="00151B7E"/>
    <w:rsid w:val="00160C7E"/>
    <w:rsid w:val="00181303"/>
    <w:rsid w:val="00214E70"/>
    <w:rsid w:val="0021722B"/>
    <w:rsid w:val="00264177"/>
    <w:rsid w:val="002B73A4"/>
    <w:rsid w:val="002F7860"/>
    <w:rsid w:val="00306C10"/>
    <w:rsid w:val="00310DD1"/>
    <w:rsid w:val="00315C03"/>
    <w:rsid w:val="003224F8"/>
    <w:rsid w:val="003315F4"/>
    <w:rsid w:val="00360994"/>
    <w:rsid w:val="003655D7"/>
    <w:rsid w:val="003D07B4"/>
    <w:rsid w:val="00402557"/>
    <w:rsid w:val="004158B6"/>
    <w:rsid w:val="00427C16"/>
    <w:rsid w:val="004421BD"/>
    <w:rsid w:val="00443649"/>
    <w:rsid w:val="004707EF"/>
    <w:rsid w:val="004D7100"/>
    <w:rsid w:val="004F6644"/>
    <w:rsid w:val="00504F13"/>
    <w:rsid w:val="005317C2"/>
    <w:rsid w:val="00546C0D"/>
    <w:rsid w:val="00574BD1"/>
    <w:rsid w:val="005B1640"/>
    <w:rsid w:val="005B3D02"/>
    <w:rsid w:val="005C1DFD"/>
    <w:rsid w:val="005D19C7"/>
    <w:rsid w:val="005D4A19"/>
    <w:rsid w:val="005D5C9C"/>
    <w:rsid w:val="005F6432"/>
    <w:rsid w:val="0066019E"/>
    <w:rsid w:val="006764E3"/>
    <w:rsid w:val="00680746"/>
    <w:rsid w:val="006A00A7"/>
    <w:rsid w:val="006A6FC6"/>
    <w:rsid w:val="006B35B8"/>
    <w:rsid w:val="006B3F5E"/>
    <w:rsid w:val="006B612D"/>
    <w:rsid w:val="006B6E7E"/>
    <w:rsid w:val="006E2130"/>
    <w:rsid w:val="006F181A"/>
    <w:rsid w:val="006F2D6F"/>
    <w:rsid w:val="00714549"/>
    <w:rsid w:val="00724661"/>
    <w:rsid w:val="00781FFA"/>
    <w:rsid w:val="0078739B"/>
    <w:rsid w:val="007B0612"/>
    <w:rsid w:val="007D5BA7"/>
    <w:rsid w:val="007F3162"/>
    <w:rsid w:val="008074B3"/>
    <w:rsid w:val="00847377"/>
    <w:rsid w:val="00856DA8"/>
    <w:rsid w:val="00882DF0"/>
    <w:rsid w:val="008958CB"/>
    <w:rsid w:val="00896E60"/>
    <w:rsid w:val="008A1E5F"/>
    <w:rsid w:val="008A43B4"/>
    <w:rsid w:val="008A7095"/>
    <w:rsid w:val="008B5071"/>
    <w:rsid w:val="008C388A"/>
    <w:rsid w:val="008F4DC6"/>
    <w:rsid w:val="00940793"/>
    <w:rsid w:val="0099270D"/>
    <w:rsid w:val="009A74F1"/>
    <w:rsid w:val="009B0D09"/>
    <w:rsid w:val="009B59BF"/>
    <w:rsid w:val="009B6D0A"/>
    <w:rsid w:val="009D539D"/>
    <w:rsid w:val="009E1AC3"/>
    <w:rsid w:val="00A4395A"/>
    <w:rsid w:val="00A506E7"/>
    <w:rsid w:val="00A93509"/>
    <w:rsid w:val="00AB5376"/>
    <w:rsid w:val="00AC3D95"/>
    <w:rsid w:val="00B044A6"/>
    <w:rsid w:val="00B61E5E"/>
    <w:rsid w:val="00B85795"/>
    <w:rsid w:val="00BD3873"/>
    <w:rsid w:val="00BE36EB"/>
    <w:rsid w:val="00C16B80"/>
    <w:rsid w:val="00C33AEF"/>
    <w:rsid w:val="00C415B1"/>
    <w:rsid w:val="00C50858"/>
    <w:rsid w:val="00C61CB5"/>
    <w:rsid w:val="00C64A61"/>
    <w:rsid w:val="00C81372"/>
    <w:rsid w:val="00C84D28"/>
    <w:rsid w:val="00CB48F9"/>
    <w:rsid w:val="00CC216F"/>
    <w:rsid w:val="00CF2D05"/>
    <w:rsid w:val="00D30B8E"/>
    <w:rsid w:val="00DD5EE1"/>
    <w:rsid w:val="00DE037E"/>
    <w:rsid w:val="00DE3C33"/>
    <w:rsid w:val="00E92D5D"/>
    <w:rsid w:val="00ED7DAC"/>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colormru v:ext="edit" colors="#017165,#96004a,#b1005d"/>
    </o:shapedefaults>
    <o:shapelayout v:ext="edit">
      <o:idmap v:ext="edit" data="1"/>
    </o:shapelayout>
  </w:shapeDefaults>
  <w:decimalSymbol w:val="."/>
  <w:listSeparator w:val=","/>
  <w15:chartTrackingRefBased/>
  <w15:docId w15:val="{7A9E4FA3-229F-4C48-84CD-11CBEC30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E7"/>
    <w:pPr>
      <w:spacing w:after="120"/>
    </w:pPr>
    <w:rPr>
      <w:rFonts w:ascii="Arial" w:eastAsia="Times New Roman" w:hAnsi="Arial"/>
      <w:sz w:val="22"/>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rsid w:val="00680746"/>
    <w:rPr>
      <w:rFonts w:ascii="Arial" w:hAnsi="Arial"/>
      <w:sz w:val="18"/>
      <w:vertAlign w:val="superscript"/>
    </w:rPr>
  </w:style>
  <w:style w:type="paragraph" w:styleId="FootnoteText">
    <w:name w:val="footnote text"/>
    <w:basedOn w:val="Normal"/>
    <w:rsid w:val="00680746"/>
    <w:pPr>
      <w:ind w:left="284" w:hanging="284"/>
    </w:pPr>
    <w:rPr>
      <w:sz w:val="18"/>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ind w:left="-329"/>
    </w:pPr>
    <w:rPr>
      <w:color w:val="FFFFFF"/>
      <w:sz w:val="18"/>
      <w:szCs w:val="18"/>
    </w:rPr>
  </w:style>
  <w:style w:type="paragraph" w:customStyle="1" w:styleId="NormalBold">
    <w:name w:val="Normal Bold"/>
    <w:basedOn w:val="Normal"/>
    <w:next w:val="Normal"/>
    <w:rsid w:val="00F0005B"/>
    <w:rPr>
      <w:b/>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8A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book.vla.vic.gov.au/sites/handbook.vla.vic.gov.au/files/vla-post-committal-negotiation-checklist.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pp.gov.au/publications/disclosur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p.vic.gov.au/Resources/DPP-s-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lii.edu.au/au/legis/vic/consol_act/cpa200918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29FC-BB64-4199-8B41-4D67D1D4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Committal report and trial preparation plan</vt:lpstr>
    </vt:vector>
  </TitlesOfParts>
  <Company>Victoria Legal Aid</Company>
  <LinksUpToDate>false</LinksUpToDate>
  <CharactersWithSpaces>3792</CharactersWithSpaces>
  <SharedDoc>false</SharedDoc>
  <HLinks>
    <vt:vector size="24" baseType="variant">
      <vt:variant>
        <vt:i4>1704024</vt:i4>
      </vt:variant>
      <vt:variant>
        <vt:i4>27</vt:i4>
      </vt:variant>
      <vt:variant>
        <vt:i4>0</vt:i4>
      </vt:variant>
      <vt:variant>
        <vt:i4>5</vt:i4>
      </vt:variant>
      <vt:variant>
        <vt:lpwstr>http://www.cdpp.gov.au/publications/disclosure-policy</vt:lpwstr>
      </vt:variant>
      <vt:variant>
        <vt:lpwstr/>
      </vt:variant>
      <vt:variant>
        <vt:i4>2097252</vt:i4>
      </vt:variant>
      <vt:variant>
        <vt:i4>24</vt:i4>
      </vt:variant>
      <vt:variant>
        <vt:i4>0</vt:i4>
      </vt:variant>
      <vt:variant>
        <vt:i4>5</vt:i4>
      </vt:variant>
      <vt:variant>
        <vt:lpwstr>http://www.opp.vic.gov.au/Resources/DPP-s-policies</vt:lpwstr>
      </vt:variant>
      <vt:variant>
        <vt:lpwstr/>
      </vt:variant>
      <vt:variant>
        <vt:i4>7340116</vt:i4>
      </vt:variant>
      <vt:variant>
        <vt:i4>21</vt:i4>
      </vt:variant>
      <vt:variant>
        <vt:i4>0</vt:i4>
      </vt:variant>
      <vt:variant>
        <vt:i4>5</vt:i4>
      </vt:variant>
      <vt:variant>
        <vt:lpwstr>http://www.austlii.edu.au/au/legis/vic/consol_act/cpa2009188/</vt:lpwstr>
      </vt:variant>
      <vt:variant>
        <vt:lpwstr/>
      </vt:variant>
      <vt:variant>
        <vt:i4>2424867</vt:i4>
      </vt:variant>
      <vt:variant>
        <vt:i4>9</vt:i4>
      </vt:variant>
      <vt:variant>
        <vt:i4>0</vt:i4>
      </vt:variant>
      <vt:variant>
        <vt:i4>5</vt:i4>
      </vt:variant>
      <vt:variant>
        <vt:lpwstr>http://handbook.vla.vic.gov.au/sites/handbook.vla.vic.gov.au/files/vla-post-committal-negotiation-checklist.doc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Committal report and trial preparation plan</dc:title>
  <dc:subject/>
  <dc:creator>Victoria Legal Aid</dc:creator>
  <cp:keywords/>
  <dc:description/>
  <cp:lastModifiedBy/>
  <cp:revision>1</cp:revision>
  <dcterms:created xsi:type="dcterms:W3CDTF">2021-04-28T01:13:00Z</dcterms:created>
  <dcterms:modified xsi:type="dcterms:W3CDTF">2021-04-28T01:13:00Z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